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6F64"/>
          <w:sz w:val="32"/>
        </w:rPr>
        <w:t>ONEWORLDZ</w:t>
      </w:r>
    </w:p>
    <w:p>
      <w:pPr>
        <w:pStyle w:val="Title"/>
        <w:jc w:val="center"/>
      </w:pPr>
      <w:r>
        <w:t>GLOBAL CITIZENS ASSEMBLY</w:t>
      </w:r>
    </w:p>
    <w:p>
      <w:pPr>
        <w:pStyle w:val="Subtitle"/>
        <w:jc w:val="center"/>
      </w:pPr>
      <w:r>
        <w:t>A New Look to the Future</w:t>
      </w:r>
    </w:p>
    <w:p>
      <w:pPr>
        <w:jc w:val="center"/>
      </w:pPr>
      <w:r>
        <w:rPr>
          <w:b/>
          <w:color w:val="5125A4"/>
          <w:sz w:val="28"/>
        </w:rPr>
        <w:t>Blueprint #001 - The Voice of Every Generation</w:t>
      </w:r>
    </w:p>
    <w:p>
      <w:pPr>
        <w:jc w:val="center"/>
      </w:pPr>
      <w:r>
        <w:rPr>
          <w:b/>
          <w:sz w:val="23"/>
        </w:rPr>
        <w:t>Public Consultation Edition - 4 August 2026</w:t>
      </w:r>
    </w:p>
    <w:p>
      <w:pPr>
        <w:jc w:val="center"/>
      </w:pPr>
      <w:r>
        <w:rPr>
          <w:sz w:val="21"/>
        </w:rPr>
        <w:t>Prepared for JayJayTeamDev and the OneWorldz mission</w:t>
      </w:r>
    </w:p>
    <w:tbl>
      <w:tblPr>
        <w:tblW w:type="auto" w:w="0"/>
        <w:jc w:val="center"/>
        <w:tblLook w:firstColumn="1" w:firstRow="1" w:lastColumn="0" w:lastRow="0" w:noHBand="0" w:noVBand="1" w:val="04A0"/>
      </w:tblPr>
      <w:tblGrid>
        <w:gridCol w:w="10108"/>
      </w:tblGrid>
      <w:tr>
        <w:trPr>
          <w:cantSplit w:val="true"/>
          <w:tblHeader w:val="true"/>
        </w:trPr>
        <w:tc>
          <w:tcPr>
            <w:tcW w:type="dxa" w:w="10108"/>
            <w:shd w:fill="F1E9FF"/>
            <w:vAlign w:val="center"/>
          </w:tcPr>
          <w:p>
            <w:pPr>
              <w:jc w:val="center"/>
            </w:pPr>
            <w:r>
              <w:rPr>
                <w:b/>
                <w:color w:val="5B25B3"/>
                <w:sz w:val="21"/>
              </w:rPr>
              <w:t>STATUS: INDEPENDENT PUBLIC-INTEREST BLUEPRINT - NOT A GOVERNMENT, TREATY BODY, ENACTED LAW OR OFFICIAL UNITED NATIONS PROGRAM</w:t>
            </w:r>
          </w:p>
        </w:tc>
      </w:tr>
    </w:tbl>
    <w:p/>
    <w:p>
      <w:pPr>
        <w:jc w:val="center"/>
      </w:pPr>
      <w:r>
        <w:rPr>
          <w:i/>
          <w:color w:val="196F64"/>
          <w:sz w:val="24"/>
        </w:rPr>
        <w:t>One World - One Mission - Every Person Matters - Every Generation Has a Voice</w:t>
      </w:r>
    </w:p>
    <w:p>
      <w:r>
        <w:br w:type="page"/>
      </w:r>
    </w:p>
    <w:p>
      <w:pPr>
        <w:pStyle w:val="Heading1"/>
      </w:pPr>
      <w:r>
        <w:t>Contents</w:t>
      </w:r>
    </w:p>
    <w:p>
      <w:r>
        <w:t>1. The Speech of Reach</w:t>
      </w:r>
    </w:p>
    <w:p>
      <w:r>
        <w:t>2. Executive Summary</w:t>
      </w:r>
    </w:p>
    <w:p>
      <w:r>
        <w:t>3. The Problem: Too Much Consequence in Too Few Hands</w:t>
      </w:r>
    </w:p>
    <w:p>
      <w:r>
        <w:t>4. What the Assembly Is - and Is Not</w:t>
      </w:r>
    </w:p>
    <w:p>
      <w:r>
        <w:t>5. Voice Across Generations</w:t>
      </w:r>
    </w:p>
    <w:p>
      <w:r>
        <w:t>6. Membership and Representation</w:t>
      </w:r>
    </w:p>
    <w:p>
      <w:r>
        <w:t>7. Human-First Priorities</w:t>
      </w:r>
    </w:p>
    <w:p>
      <w:r>
        <w:t>8. Peace, Conflict and the No-War Direction</w:t>
      </w:r>
    </w:p>
    <w:p>
      <w:r>
        <w:t>9. Powers, Limits and Democratic Legitimacy</w:t>
      </w:r>
    </w:p>
    <w:p>
      <w:r>
        <w:t>10. Evidence, Research and Public Reasons</w:t>
      </w:r>
    </w:p>
    <w:p>
      <w:r>
        <w:t>11. Funding, Technology and Transparency</w:t>
      </w:r>
    </w:p>
    <w:p>
      <w:r>
        <w:t>12. Safety, Rights and Anti-Capture Safeguards</w:t>
      </w:r>
    </w:p>
    <w:p>
      <w:r>
        <w:t>13. Practical Pilot Roadmap</w:t>
      </w:r>
    </w:p>
    <w:p>
      <w:r>
        <w:t>14. Measures of Success</w:t>
      </w:r>
    </w:p>
    <w:p>
      <w:r>
        <w:t>15. Consultation Questions</w:t>
      </w:r>
    </w:p>
    <w:p>
      <w:r>
        <w:t>16. Official Design References and Disclaimer</w:t>
      </w:r>
    </w:p>
    <w:p>
      <w:r>
        <w:br w:type="page"/>
      </w:r>
    </w:p>
    <w:p>
      <w:pPr>
        <w:pStyle w:val="Heading1"/>
      </w:pPr>
      <w:r>
        <w:t>1. The Speech of Reach</w:t>
      </w:r>
    </w:p>
    <w:p>
      <w:pPr>
        <w:jc w:val="center"/>
      </w:pPr>
      <w:r>
        <w:rPr>
          <w:b/>
          <w:color w:val="5125A4"/>
          <w:sz w:val="34"/>
        </w:rPr>
        <w:t>EVERY GENERATION STILL HAS A SAY</w:t>
      </w:r>
    </w:p>
    <w:tbl>
      <w:tblPr>
        <w:tblW w:type="auto" w:w="0"/>
        <w:jc w:val="center"/>
        <w:tblLook w:firstColumn="1" w:firstRow="1" w:lastColumn="0" w:lastRow="0" w:noHBand="0" w:noVBand="1" w:val="04A0"/>
      </w:tblPr>
      <w:tblGrid>
        <w:gridCol w:w="10108"/>
      </w:tblGrid>
      <w:tr>
        <w:trPr>
          <w:cantSplit w:val="true"/>
          <w:tblHeader w:val="true"/>
        </w:trPr>
        <w:tc>
          <w:tcPr>
            <w:tcW w:type="dxa" w:w="10108"/>
            <w:shd w:fill="F5F0FF"/>
            <w:vAlign w:val="center"/>
          </w:tcPr>
          <w:p>
            <w:pPr>
              <w:jc w:val="center"/>
            </w:pPr>
            <w:r>
              <w:rPr>
                <w:b w:val="0"/>
                <w:color w:val="31234A"/>
                <w:sz w:val="21"/>
              </w:rPr>
              <w:t>To every person in a retirement village, a quiet home, a hospital room or a community that has begun to treat your voice as something from the past: your story is not finished, and your experience is not outdated. You have lived through conflict, loss, rebuilding, social change, hard decisions and the consequences that followed. Young people should not have to learn every lesson through another war, another collapse or another generation of preventable pain. We can connect older and younger people so history is heard as lived experience, not only as dates in a book. A young person can bring new tools, new energy and new questions. An older person can bring memory, context, patience and the truth about what violence actually leaves behind. Together, generations can design better choices before anger becomes policy and policy becomes suffering. A worldwide citizens assembly should not be another club for the powerful. It should be a protected place for ordinary people - including older people, young people, carers, people with disability, First Peoples, workers, scientists, peacebuilders and people who have survived conflict - to examine the evidence, challenge dangerous decisions and keep human needs at the centre. Housing before vanity. Food before waste. Health before preventable suffering. Clean communities before pollution. Dialogue before weapons. Every generation still has a say. Every life can teach. Every country can listen. One World. One Mission.</w:t>
            </w:r>
          </w:p>
        </w:tc>
      </w:tr>
    </w:tbl>
    <w:p/>
    <w:p>
      <w:pPr>
        <w:jc w:val="right"/>
      </w:pPr>
      <w:r>
        <w:rPr>
          <w:i/>
          <w:color w:val="196F64"/>
        </w:rPr>
        <w:t>JayJayTeamDev - OneWorldz - 4 August 2026</w:t>
      </w:r>
    </w:p>
    <w:p>
      <w:pPr>
        <w:pStyle w:val="Heading1"/>
      </w:pPr>
      <w:r>
        <w:t>2. Executive Summary</w:t>
      </w:r>
    </w:p>
    <w:p>
      <w:r>
        <w:t>The OneWorldz Global Citizens Assembly is a public consultation blueprint for a worldwide network of ordinary people who learn, deliberate and publish recommendations on decisions with major human consequences. Its purpose is not to replace democracy with another powerful elite. Its purpose is to widen democratic intelligence, expose dangerous decisions to public evidence and bring human needs into view before budgets, conflict or commercial interests make those needs invisible.</w:t>
      </w:r>
    </w:p>
    <w:p>
      <w:r>
        <w:t>The model combines broad country participation with smaller rotating panels. Each country can engage 100 to 1,000 people through local story circles, open consultations and specialist knowledge rooms. A representative national panel of approximately 100 rotating residents then studies evidence and selects a small temporary delegation for worldwide deliberation. This preserves the scale of the original vision while keeping discussion workable.</w:t>
      </w:r>
    </w:p>
    <w:p>
      <w:r>
        <w:t>The first practical program is the Generations Bridge: retirement village residents and other older community members partner with young people to preserve life stories, conflict lessons and recovery knowledge. Older people are treated as contributors and witnesses, not as passive recipients. Young people gain context and listening skills; older people gain connection, digital support and a direct route into public research.</w:t>
      </w:r>
    </w:p>
    <w:p>
      <w:r>
        <w:t>The safest launch stage is voluntary and advisory. It can publish research, story archives, budget scorecards, peace reviews and citizen recommendations. It has no army, no secret authority and no power to overrule an elected government. Any future formal review or override power would require lawful democratic adoption, defined jurisdiction, independent courts, rights protection and clear appeal mechanisms.</w:t>
      </w:r>
    </w:p>
    <w:p>
      <w:pPr>
        <w:pStyle w:val="Heading1"/>
      </w:pPr>
      <w:r>
        <w:t>3. The Problem: Too Much Consequence in Too Few Hands</w:t>
      </w:r>
    </w:p>
    <w:tbl>
      <w:tblPr>
        <w:tblStyle w:val="TableGrid"/>
        <w:tblW w:type="auto" w:w="0"/>
        <w:jc w:val="center"/>
        <w:tblLook w:firstColumn="1" w:firstRow="1" w:lastColumn="0" w:lastRow="0" w:noHBand="0" w:noVBand="1" w:val="04A0"/>
      </w:tblPr>
      <w:tblGrid>
        <w:gridCol w:w="5054"/>
        <w:gridCol w:w="5054"/>
      </w:tblGrid>
      <w:tr>
        <w:trPr>
          <w:tblHeader w:val="true"/>
          <w:cantSplit w:val="true"/>
        </w:trPr>
        <w:tc>
          <w:tcPr>
            <w:tcW w:type="dxa" w:w="5054"/>
            <w:shd w:fill="5135A4"/>
          </w:tcPr>
          <w:p>
            <w:r>
              <w:rPr>
                <w:color w:val="FFFFFF"/>
              </w:rPr>
              <w:t>Problem</w:t>
            </w:r>
          </w:p>
        </w:tc>
        <w:tc>
          <w:tcPr>
            <w:tcW w:type="dxa" w:w="5054"/>
            <w:shd w:fill="5135A4"/>
          </w:tcPr>
          <w:p>
            <w:r>
              <w:rPr>
                <w:color w:val="FFFFFF"/>
              </w:rPr>
              <w:t>Why it matters</w:t>
            </w:r>
          </w:p>
        </w:tc>
      </w:tr>
      <w:tr>
        <w:trPr>
          <w:cantSplit w:val="true"/>
        </w:trPr>
        <w:tc>
          <w:tcPr>
            <w:tcW w:type="dxa" w:w="5054"/>
          </w:tcPr>
          <w:p>
            <w:r>
              <w:t>Budget concentration</w:t>
            </w:r>
          </w:p>
        </w:tc>
        <w:tc>
          <w:tcPr>
            <w:tcW w:type="dxa" w:w="5054"/>
          </w:tcPr>
          <w:p>
            <w:r>
              <w:t>A small number of political, financial and institutional leaders can direct enormous public resources while people most affected by the decisions have limited access to evidence or influence.</w:t>
            </w:r>
          </w:p>
        </w:tc>
      </w:tr>
      <w:tr>
        <w:trPr>
          <w:cantSplit w:val="true"/>
        </w:trPr>
        <w:tc>
          <w:tcPr>
            <w:tcW w:type="dxa" w:w="5054"/>
          </w:tcPr>
          <w:p>
            <w:r>
              <w:t>Short decision cycles</w:t>
            </w:r>
          </w:p>
        </w:tc>
        <w:tc>
          <w:tcPr>
            <w:tcW w:type="dxa" w:w="5054"/>
          </w:tcPr>
          <w:p>
            <w:r>
              <w:t>Election, media and market cycles can reward immediate appearance over long-term housing, health, environmental repair and social stability.</w:t>
            </w:r>
          </w:p>
        </w:tc>
      </w:tr>
      <w:tr>
        <w:trPr>
          <w:cantSplit w:val="true"/>
        </w:trPr>
        <w:tc>
          <w:tcPr>
            <w:tcW w:type="dxa" w:w="5054"/>
          </w:tcPr>
          <w:p>
            <w:r>
              <w:t>Conflict escalation</w:t>
            </w:r>
          </w:p>
        </w:tc>
        <w:tc>
          <w:tcPr>
            <w:tcW w:type="dxa" w:w="5054"/>
          </w:tcPr>
          <w:p>
            <w:r>
              <w:t>Public claims about security can move faster than independent evidence, civilian testimony, diplomacy and understanding of long-term consequences.</w:t>
            </w:r>
          </w:p>
        </w:tc>
      </w:tr>
      <w:tr>
        <w:trPr>
          <w:cantSplit w:val="true"/>
        </w:trPr>
        <w:tc>
          <w:tcPr>
            <w:tcW w:type="dxa" w:w="5054"/>
          </w:tcPr>
          <w:p>
            <w:r>
              <w:t>Knowledge loss</w:t>
            </w:r>
          </w:p>
        </w:tc>
        <w:tc>
          <w:tcPr>
            <w:tcW w:type="dxa" w:w="5054"/>
          </w:tcPr>
          <w:p>
            <w:r>
              <w:t>People who lived through war, poverty, displacement, industrial change, discrimination and rebuilding can become socially isolated while their experience disappears from public decision-making.</w:t>
            </w:r>
          </w:p>
        </w:tc>
      </w:tr>
      <w:tr>
        <w:trPr>
          <w:cantSplit w:val="true"/>
        </w:trPr>
        <w:tc>
          <w:tcPr>
            <w:tcW w:type="dxa" w:w="5054"/>
          </w:tcPr>
          <w:p>
            <w:r>
              <w:t>Participation inequality</w:t>
            </w:r>
          </w:p>
        </w:tc>
        <w:tc>
          <w:tcPr>
            <w:tcW w:type="dxa" w:w="5054"/>
          </w:tcPr>
          <w:p>
            <w:r>
              <w:t>Formal consultation often favours people with time, money, confidence, transport, language access and professional networks.</w:t>
            </w:r>
          </w:p>
        </w:tc>
      </w:tr>
      <w:tr>
        <w:trPr>
          <w:cantSplit w:val="true"/>
        </w:trPr>
        <w:tc>
          <w:tcPr>
            <w:tcW w:type="dxa" w:w="5054"/>
          </w:tcPr>
          <w:p>
            <w:r>
              <w:t>Invisible trade-offs</w:t>
            </w:r>
          </w:p>
        </w:tc>
        <w:tc>
          <w:tcPr>
            <w:tcW w:type="dxa" w:w="5054"/>
          </w:tcPr>
          <w:p>
            <w:r>
              <w:t>Prestige projects, weapons, tax settings or commercial concessions can displace basic human needs without a clear public account of who gained, who lost and what alternatives existed.</w:t>
            </w:r>
          </w:p>
        </w:tc>
      </w:tr>
    </w:tbl>
    <w:p>
      <w:pPr>
        <w:pStyle w:val="Heading1"/>
      </w:pPr>
      <w:r>
        <w:t>4. What the Assembly Is - and Is Not</w:t>
      </w:r>
    </w:p>
    <w:tbl>
      <w:tblPr>
        <w:tblStyle w:val="TableGrid"/>
        <w:tblW w:type="auto" w:w="0"/>
        <w:jc w:val="center"/>
        <w:tblLook w:firstColumn="1" w:firstRow="1" w:lastColumn="0" w:lastRow="0" w:noHBand="0" w:noVBand="1" w:val="04A0"/>
      </w:tblPr>
      <w:tblGrid>
        <w:gridCol w:w="5054"/>
        <w:gridCol w:w="5054"/>
      </w:tblGrid>
      <w:tr>
        <w:trPr>
          <w:tblHeader w:val="true"/>
          <w:cantSplit w:val="true"/>
        </w:trPr>
        <w:tc>
          <w:tcPr>
            <w:tcW w:type="dxa" w:w="5054"/>
            <w:shd w:fill="196F64"/>
          </w:tcPr>
          <w:p>
            <w:r>
              <w:rPr>
                <w:color w:val="FFFFFF"/>
              </w:rPr>
              <w:t>It is designed to be</w:t>
            </w:r>
          </w:p>
        </w:tc>
        <w:tc>
          <w:tcPr>
            <w:tcW w:type="dxa" w:w="5054"/>
            <w:shd w:fill="196F64"/>
          </w:tcPr>
          <w:p>
            <w:r>
              <w:rPr>
                <w:color w:val="FFFFFF"/>
              </w:rPr>
              <w:t>It is not</w:t>
            </w:r>
          </w:p>
        </w:tc>
      </w:tr>
      <w:tr>
        <w:trPr>
          <w:cantSplit w:val="true"/>
        </w:trPr>
        <w:tc>
          <w:tcPr>
            <w:tcW w:type="dxa" w:w="5054"/>
          </w:tcPr>
          <w:p>
            <w:r>
              <w:t>A representative, rotating and informed citizens network.</w:t>
            </w:r>
          </w:p>
        </w:tc>
        <w:tc>
          <w:tcPr>
            <w:tcW w:type="dxa" w:w="5054"/>
          </w:tcPr>
          <w:p>
            <w:r>
              <w:t>A permanent world ruling class.</w:t>
            </w:r>
          </w:p>
        </w:tc>
      </w:tr>
      <w:tr>
        <w:trPr>
          <w:cantSplit w:val="true"/>
        </w:trPr>
        <w:tc>
          <w:tcPr>
            <w:tcW w:type="dxa" w:w="5054"/>
          </w:tcPr>
          <w:p>
            <w:r>
              <w:t>A place for evidence, lived experience and competing views.</w:t>
            </w:r>
          </w:p>
        </w:tc>
        <w:tc>
          <w:tcPr>
            <w:tcW w:type="dxa" w:w="5054"/>
          </w:tcPr>
          <w:p>
            <w:r>
              <w:t>A quick social-media poll or popularity contest.</w:t>
            </w:r>
          </w:p>
        </w:tc>
      </w:tr>
      <w:tr>
        <w:trPr>
          <w:cantSplit w:val="true"/>
        </w:trPr>
        <w:tc>
          <w:tcPr>
            <w:tcW w:type="dxa" w:w="5054"/>
          </w:tcPr>
          <w:p>
            <w:r>
              <w:t>A public reason register showing why recommendations were made.</w:t>
            </w:r>
          </w:p>
        </w:tc>
        <w:tc>
          <w:tcPr>
            <w:tcW w:type="dxa" w:w="5054"/>
          </w:tcPr>
          <w:p>
            <w:r>
              <w:t>A secret committee with unexplained authority.</w:t>
            </w:r>
          </w:p>
        </w:tc>
      </w:tr>
      <w:tr>
        <w:trPr>
          <w:cantSplit w:val="true"/>
        </w:trPr>
        <w:tc>
          <w:tcPr>
            <w:tcW w:type="dxa" w:w="5054"/>
          </w:tcPr>
          <w:p>
            <w:r>
              <w:t>A human-first review of budgets, peace, health, housing and environment.</w:t>
            </w:r>
          </w:p>
        </w:tc>
        <w:tc>
          <w:tcPr>
            <w:tcW w:type="dxa" w:w="5054"/>
          </w:tcPr>
          <w:p>
            <w:r>
              <w:t>A private organisation that can command armed forces.</w:t>
            </w:r>
          </w:p>
        </w:tc>
      </w:tr>
      <w:tr>
        <w:trPr>
          <w:cantSplit w:val="true"/>
        </w:trPr>
        <w:tc>
          <w:tcPr>
            <w:tcW w:type="dxa" w:w="5054"/>
          </w:tcPr>
          <w:p>
            <w:r>
              <w:t>A voluntary advisory body at launch.</w:t>
            </w:r>
          </w:p>
        </w:tc>
        <w:tc>
          <w:tcPr>
            <w:tcW w:type="dxa" w:w="5054"/>
          </w:tcPr>
          <w:p>
            <w:r>
              <w:t>An enacted law or official United Nations body.</w:t>
            </w:r>
          </w:p>
        </w:tc>
      </w:tr>
      <w:tr>
        <w:trPr>
          <w:cantSplit w:val="true"/>
        </w:trPr>
        <w:tc>
          <w:tcPr>
            <w:tcW w:type="dxa" w:w="5054"/>
          </w:tcPr>
          <w:p>
            <w:r>
              <w:t>A model that can gain lawful functions only through democratic adoption.</w:t>
            </w:r>
          </w:p>
        </w:tc>
        <w:tc>
          <w:tcPr>
            <w:tcW w:type="dxa" w:w="5054"/>
          </w:tcPr>
          <w:p>
            <w:r>
              <w:t>A shortcut around constitutions, courts, rights or elections.</w:t>
            </w:r>
          </w:p>
        </w:tc>
      </w:tr>
    </w:tbl>
    <w:p>
      <w:pPr>
        <w:pStyle w:val="Heading1"/>
      </w:pPr>
      <w:r>
        <w:t>5. Voice Across Generations</w:t>
      </w:r>
    </w:p>
    <w:p>
      <w:r>
        <w:t>The Generations Bridge is the opening program because it can begin locally, provide immediate social value and improve the quality of future public decisions.</w:t>
      </w:r>
    </w:p>
    <w:p>
      <w:pPr>
        <w:pStyle w:val="Heading2"/>
      </w:pPr>
      <w:r>
        <w:t>1. Invitation and informed consent</w:t>
      </w:r>
    </w:p>
    <w:p>
      <w:r>
        <w:t>Residents choose whether to join, which topics are safe, whether recording is allowed, who may access the story and how future withdrawal works.</w:t>
      </w:r>
    </w:p>
    <w:p>
      <w:pPr>
        <w:pStyle w:val="Heading2"/>
      </w:pPr>
      <w:r>
        <w:t>2. Young listening partners</w:t>
      </w:r>
    </w:p>
    <w:p>
      <w:r>
        <w:t>Young participants receive training in open questions, active listening, respectful fact-checking, privacy, trauma awareness and digital recording.</w:t>
      </w:r>
    </w:p>
    <w:p>
      <w:pPr>
        <w:pStyle w:val="Heading2"/>
      </w:pPr>
      <w:r>
        <w:t>3. Life chapter conversations</w:t>
      </w:r>
    </w:p>
    <w:p>
      <w:r>
        <w:t>Each pair explores one defined chapter: conflict, work, family, migration, community change, hardship, technology, care, protest or rebuilding.</w:t>
      </w:r>
    </w:p>
    <w:p>
      <w:pPr>
        <w:pStyle w:val="Heading2"/>
      </w:pPr>
      <w:r>
        <w:t>4. Verification without disrespect</w:t>
      </w:r>
    </w:p>
    <w:p>
      <w:r>
        <w:t>Personal memory is preserved as personal testimony. External dates and claims are checked separately, and disagreement is recorded rather than erased.</w:t>
      </w:r>
    </w:p>
    <w:p>
      <w:pPr>
        <w:pStyle w:val="Heading2"/>
      </w:pPr>
      <w:r>
        <w:t>5. Shared lesson</w:t>
      </w:r>
    </w:p>
    <w:p>
      <w:r>
        <w:t>The pair creates a short policy-memory note: what happened, what was promised, what the real consequences were, what helped recovery and what future leaders should understand.</w:t>
      </w:r>
    </w:p>
    <w:p>
      <w:pPr>
        <w:pStyle w:val="Heading2"/>
      </w:pPr>
      <w:r>
        <w:t>6. Return and control</w:t>
      </w:r>
    </w:p>
    <w:p>
      <w:r>
        <w:t>The storyteller reviews the final version and may correct, restrict, anonymise or withdraw it before public use.</w:t>
      </w:r>
    </w:p>
    <w:tbl>
      <w:tblPr>
        <w:tblW w:type="auto" w:w="0"/>
        <w:jc w:val="center"/>
        <w:tblLook w:firstColumn="1" w:firstRow="1" w:lastColumn="0" w:lastRow="0" w:noHBand="0" w:noVBand="1" w:val="04A0"/>
      </w:tblPr>
      <w:tblGrid>
        <w:gridCol w:w="10108"/>
      </w:tblGrid>
      <w:tr>
        <w:trPr>
          <w:cantSplit w:val="true"/>
          <w:tblHeader w:val="true"/>
        </w:trPr>
        <w:tc>
          <w:tcPr>
            <w:tcW w:type="dxa" w:w="10108"/>
            <w:shd w:fill="E9FAF5"/>
            <w:vAlign w:val="center"/>
          </w:tcPr>
          <w:p>
            <w:pPr>
              <w:jc w:val="center"/>
            </w:pPr>
            <w:r>
              <w:rPr>
                <w:b/>
                <w:color w:val="196F64"/>
                <w:sz w:val="21"/>
              </w:rPr>
              <w:t>Older people are not included as decoration. They are researchers, witnesses, mentors and citizens. Young people are not included as token representatives. They are listeners, creators and future decision-makers.</w:t>
            </w:r>
          </w:p>
        </w:tc>
      </w:tr>
    </w:tbl>
    <w:p/>
    <w:p>
      <w:pPr>
        <w:pStyle w:val="Heading1"/>
      </w:pPr>
      <w:r>
        <w:t>6. Membership and Representation</w:t>
      </w:r>
    </w:p>
    <w:p>
      <w:pPr>
        <w:pStyle w:val="Heading2"/>
      </w:pPr>
      <w:r>
        <w:t>6.1 A layered worldwide network</w:t>
      </w:r>
    </w:p>
    <w:p>
      <w:pPr>
        <w:pStyle w:val="ListBullet"/>
      </w:pPr>
      <w:r>
        <w:t>Country participation network: 100 to 1,000 people per country through local circles, online consultations, phone access and community partner sessions.</w:t>
      </w:r>
    </w:p>
    <w:p>
      <w:pPr>
        <w:pStyle w:val="ListBullet"/>
      </w:pPr>
      <w:r>
        <w:t>Representative national panel: approximately 100 residents chosen through a transparent stratified civic lottery and refreshed in stages.</w:t>
      </w:r>
    </w:p>
    <w:p>
      <w:pPr>
        <w:pStyle w:val="ListBullet"/>
      </w:pPr>
      <w:r>
        <w:t>Global deliberation chamber: a small rotating delegation from every national panel for specific global questions.</w:t>
      </w:r>
    </w:p>
    <w:p>
      <w:pPr>
        <w:pStyle w:val="ListBullet"/>
      </w:pPr>
      <w:r>
        <w:t>Knowledge rooms: independent experts and lived-experience witnesses who answer questions but do not control citizen conclusions.</w:t>
      </w:r>
    </w:p>
    <w:p>
      <w:pPr>
        <w:pStyle w:val="ListBullet"/>
      </w:pPr>
      <w:r>
        <w:t>Public observers: journalists, auditors, civil society and residents who can inspect process records while protected evidence remains confidential.</w:t>
      </w:r>
    </w:p>
    <w:p>
      <w:pPr>
        <w:pStyle w:val="Heading2"/>
      </w:pPr>
      <w:r>
        <w:t>6.2 Representation requirements</w:t>
      </w:r>
    </w:p>
    <w:p>
      <w:pPr>
        <w:pStyle w:val="ListBullet"/>
      </w:pPr>
      <w:r>
        <w:t>Age balance, including young adults and older people who are commonly excluded from digital participation.</w:t>
      </w:r>
    </w:p>
    <w:p>
      <w:pPr>
        <w:pStyle w:val="ListBullet"/>
      </w:pPr>
      <w:r>
        <w:t>Urban, suburban, regional, rural and remote participation.</w:t>
      </w:r>
    </w:p>
    <w:p>
      <w:pPr>
        <w:pStyle w:val="ListBullet"/>
      </w:pPr>
      <w:r>
        <w:t>People with disability, carers and people who experience barriers to transport or communication.</w:t>
      </w:r>
    </w:p>
    <w:p>
      <w:pPr>
        <w:pStyle w:val="ListBullet"/>
      </w:pPr>
      <w:r>
        <w:t>First Peoples and Indigenous knowledge holders through culturally safe, self-determined participation.</w:t>
      </w:r>
    </w:p>
    <w:p>
      <w:pPr>
        <w:pStyle w:val="ListBullet"/>
      </w:pPr>
      <w:r>
        <w:t>Low-income communities, workers, unemployed people, small business, migrants, refugees and people with conflict experience.</w:t>
      </w:r>
    </w:p>
    <w:p>
      <w:pPr>
        <w:pStyle w:val="ListBullet"/>
      </w:pPr>
      <w:r>
        <w:t>Gender diversity and a deliberate check against professional, political or wealth concentration.</w:t>
      </w:r>
    </w:p>
    <w:p>
      <w:pPr>
        <w:pStyle w:val="Heading2"/>
      </w:pPr>
      <w:r>
        <w:t>6.3 Rotation and independence</w:t>
      </w:r>
    </w:p>
    <w:p>
      <w:pPr>
        <w:pStyle w:val="ListBullet"/>
      </w:pPr>
      <w:r>
        <w:t>Short fixed terms; staggered replacement; no lifetime seats.</w:t>
      </w:r>
    </w:p>
    <w:p>
      <w:pPr>
        <w:pStyle w:val="ListBullet"/>
      </w:pPr>
      <w:r>
        <w:t>Fair compensation that does not depend on wealth or employer support.</w:t>
      </w:r>
    </w:p>
    <w:p>
      <w:pPr>
        <w:pStyle w:val="ListBullet"/>
      </w:pPr>
      <w:r>
        <w:t>Translation, disability access, transport, care support and phone participation.</w:t>
      </w:r>
    </w:p>
    <w:p>
      <w:pPr>
        <w:pStyle w:val="ListBullet"/>
      </w:pPr>
      <w:r>
        <w:t>Cooling-off restrictions for senior political, military, lobbying and major contracting roles where conflicts cannot be managed.</w:t>
      </w:r>
    </w:p>
    <w:p>
      <w:pPr>
        <w:pStyle w:val="ListBullet"/>
      </w:pPr>
      <w:r>
        <w:t>Public declarations of interest and an independent removal and appeal process.</w:t>
      </w:r>
    </w:p>
    <w:p>
      <w:pPr>
        <w:pStyle w:val="Heading1"/>
      </w:pPr>
      <w:r>
        <w:t>7. Human-First Priorities</w:t>
      </w:r>
    </w:p>
    <w:tbl>
      <w:tblPr>
        <w:tblStyle w:val="TableGrid"/>
        <w:tblW w:type="auto" w:w="0"/>
        <w:jc w:val="center"/>
        <w:tblLook w:firstColumn="1" w:firstRow="1" w:lastColumn="0" w:lastRow="0" w:noHBand="0" w:noVBand="1" w:val="04A0"/>
      </w:tblPr>
      <w:tblGrid>
        <w:gridCol w:w="5054"/>
        <w:gridCol w:w="5054"/>
      </w:tblGrid>
      <w:tr>
        <w:trPr>
          <w:tblHeader w:val="true"/>
          <w:cantSplit w:val="true"/>
        </w:trPr>
        <w:tc>
          <w:tcPr>
            <w:tcW w:type="dxa" w:w="5054"/>
            <w:shd w:fill="5135A4"/>
          </w:tcPr>
          <w:p>
            <w:r>
              <w:rPr>
                <w:color w:val="FFFFFF"/>
              </w:rPr>
              <w:t>Priority</w:t>
            </w:r>
          </w:p>
        </w:tc>
        <w:tc>
          <w:tcPr>
            <w:tcW w:type="dxa" w:w="5054"/>
            <w:shd w:fill="5135A4"/>
          </w:tcPr>
          <w:p>
            <w:r>
              <w:rPr>
                <w:color w:val="FFFFFF"/>
              </w:rPr>
              <w:t>Citizen review question</w:t>
            </w:r>
          </w:p>
        </w:tc>
      </w:tr>
      <w:tr>
        <w:trPr>
          <w:cantSplit w:val="true"/>
        </w:trPr>
        <w:tc>
          <w:tcPr>
            <w:tcW w:type="dxa" w:w="5054"/>
          </w:tcPr>
          <w:p>
            <w:r>
              <w:t>Housing and shelter</w:t>
            </w:r>
          </w:p>
        </w:tc>
        <w:tc>
          <w:tcPr>
            <w:tcW w:type="dxa" w:w="5054"/>
          </w:tcPr>
          <w:p>
            <w:r>
              <w:t>Test whether budgets expand safe, stable and affordable housing, reduce street homelessness and maintain existing homes before funding avoidable prestige projects.</w:t>
            </w:r>
          </w:p>
        </w:tc>
      </w:tr>
      <w:tr>
        <w:trPr>
          <w:cantSplit w:val="true"/>
        </w:trPr>
        <w:tc>
          <w:tcPr>
            <w:tcW w:type="dxa" w:w="5054"/>
          </w:tcPr>
          <w:p>
            <w:r>
              <w:t>Food and clean water</w:t>
            </w:r>
          </w:p>
        </w:tc>
        <w:tc>
          <w:tcPr>
            <w:tcW w:type="dxa" w:w="5054"/>
          </w:tcPr>
          <w:p>
            <w:r>
              <w:t>Prioritise reliable nutrition, clean water, sustainable agriculture, local resilience and reduced food waste.</w:t>
            </w:r>
          </w:p>
        </w:tc>
      </w:tr>
      <w:tr>
        <w:trPr>
          <w:cantSplit w:val="true"/>
        </w:trPr>
        <w:tc>
          <w:tcPr>
            <w:tcW w:type="dxa" w:w="5054"/>
          </w:tcPr>
          <w:p>
            <w:r>
              <w:t>Health and disability</w:t>
            </w:r>
          </w:p>
        </w:tc>
        <w:tc>
          <w:tcPr>
            <w:tcW w:type="dxa" w:w="5054"/>
          </w:tcPr>
          <w:p>
            <w:r>
              <w:t>Support essential care, prevention, rehabilitation, accessibility, mental health and disease control without avoidable financial hardship.</w:t>
            </w:r>
          </w:p>
        </w:tc>
      </w:tr>
      <w:tr>
        <w:trPr>
          <w:cantSplit w:val="true"/>
        </w:trPr>
        <w:tc>
          <w:tcPr>
            <w:tcW w:type="dxa" w:w="5054"/>
          </w:tcPr>
          <w:p>
            <w:r>
              <w:t>Clean communities</w:t>
            </w:r>
          </w:p>
        </w:tc>
        <w:tc>
          <w:tcPr>
            <w:tcW w:type="dxa" w:w="5054"/>
          </w:tcPr>
          <w:p>
            <w:r>
              <w:t>Strengthen waste collection, circular systems, pollution prevention, land repair and dignified work for people involved in recycling and environmental care.</w:t>
            </w:r>
          </w:p>
        </w:tc>
      </w:tr>
      <w:tr>
        <w:trPr>
          <w:cantSplit w:val="true"/>
        </w:trPr>
        <w:tc>
          <w:tcPr>
            <w:tcW w:type="dxa" w:w="5054"/>
          </w:tcPr>
          <w:p>
            <w:r>
              <w:t>Education and opportunity</w:t>
            </w:r>
          </w:p>
        </w:tc>
        <w:tc>
          <w:tcPr>
            <w:tcW w:type="dxa" w:w="5054"/>
          </w:tcPr>
          <w:p>
            <w:r>
              <w:t>Expand practical learning, digital access, employment pathways, creativity and connection across age groups.</w:t>
            </w:r>
          </w:p>
        </w:tc>
      </w:tr>
      <w:tr>
        <w:trPr>
          <w:cantSplit w:val="true"/>
        </w:trPr>
        <w:tc>
          <w:tcPr>
            <w:tcW w:type="dxa" w:w="5054"/>
          </w:tcPr>
          <w:p>
            <w:r>
              <w:t>Public money and fairness</w:t>
            </w:r>
          </w:p>
        </w:tc>
        <w:tc>
          <w:tcPr>
            <w:tcW w:type="dxa" w:w="5054"/>
          </w:tcPr>
          <w:p>
            <w:r>
              <w:t>Publish who benefits, who carries risk, which needs were displaced, expected outcomes and how the public can challenge the evidence.</w:t>
            </w:r>
          </w:p>
        </w:tc>
      </w:tr>
      <w:tr>
        <w:trPr>
          <w:cantSplit w:val="true"/>
        </w:trPr>
        <w:tc>
          <w:tcPr>
            <w:tcW w:type="dxa" w:w="5054"/>
          </w:tcPr>
          <w:p>
            <w:r>
              <w:t>Future generations</w:t>
            </w:r>
          </w:p>
        </w:tc>
        <w:tc>
          <w:tcPr>
            <w:tcW w:type="dxa" w:w="5054"/>
          </w:tcPr>
          <w:p>
            <w:r>
              <w:t>Score major decisions against long-term debt, climate, health, peace, infrastructure and social-cohesion effects.</w:t>
            </w:r>
          </w:p>
        </w:tc>
      </w:tr>
      <w:tr>
        <w:trPr>
          <w:cantSplit w:val="true"/>
        </w:trPr>
        <w:tc>
          <w:tcPr>
            <w:tcW w:type="dxa" w:w="5054"/>
          </w:tcPr>
          <w:p>
            <w:r>
              <w:t>Dignity and inclusion</w:t>
            </w:r>
          </w:p>
        </w:tc>
        <w:tc>
          <w:tcPr>
            <w:tcW w:type="dxa" w:w="5054"/>
          </w:tcPr>
          <w:p>
            <w:r>
              <w:t>Measure whether people who are usually overlooked are safer, heard and able to participate in community life.</w:t>
            </w:r>
          </w:p>
        </w:tc>
      </w:tr>
    </w:tbl>
    <w:p>
      <w:pPr>
        <w:pStyle w:val="Heading1"/>
      </w:pPr>
      <w:r>
        <w:t>8. Peace, Conflict and the No-War Direction</w:t>
      </w:r>
    </w:p>
    <w:p>
      <w:r>
        <w:t>The Assembly cannot promise to end war by declaration. It can make reckless escalation harder, peaceful work more visible and after-action truth unavoidable. The design aligns with the United Nations Charter principles of peaceful dispute settlement and restraint from the threat or use of force.</w:t>
      </w:r>
    </w:p>
    <w:p>
      <w:pPr>
        <w:pStyle w:val="Heading2"/>
      </w:pPr>
      <w:r>
        <w:t>Cooling-off review</w:t>
      </w:r>
    </w:p>
    <w:p>
      <w:r>
        <w:t>Where time and lawful self-defence obligations permit, planned escalation receives an independent public-interest review before irreversible action.</w:t>
      </w:r>
    </w:p>
    <w:p>
      <w:pPr>
        <w:pStyle w:val="Heading2"/>
      </w:pPr>
      <w:r>
        <w:t>Evidence hearing</w:t>
      </w:r>
    </w:p>
    <w:p>
      <w:r>
        <w:t>Verified claims, uncertainty, intelligence limits, legal positions, civilian forecasts and competing accounts are presented in understandable form.</w:t>
      </w:r>
    </w:p>
    <w:p>
      <w:pPr>
        <w:pStyle w:val="Heading2"/>
      </w:pPr>
      <w:r>
        <w:t>Civilian witness</w:t>
      </w:r>
    </w:p>
    <w:p>
      <w:r>
        <w:t>Residents, refugees, veterans, carers, health workers, older witnesses and young people describe likely and experienced consequences.</w:t>
      </w:r>
    </w:p>
    <w:p>
      <w:pPr>
        <w:pStyle w:val="Heading2"/>
      </w:pPr>
      <w:r>
        <w:t>Peace options register</w:t>
      </w:r>
    </w:p>
    <w:p>
      <w:r>
        <w:t>Mediation, diplomacy, monitoring, ceasefire, humanitarian access, sanctions safeguards and restorative pathways are documented as real options.</w:t>
      </w:r>
    </w:p>
    <w:p>
      <w:pPr>
        <w:pStyle w:val="Heading2"/>
      </w:pPr>
      <w:r>
        <w:t>Interests and influence register</w:t>
      </w:r>
    </w:p>
    <w:p>
      <w:r>
        <w:t>Relevant military, political, contracting, resource, media and lobbying interests are disclosed.</w:t>
      </w:r>
    </w:p>
    <w:p>
      <w:pPr>
        <w:pStyle w:val="Heading2"/>
      </w:pPr>
      <w:r>
        <w:t>After-action truth review</w:t>
      </w:r>
    </w:p>
    <w:p>
      <w:r>
        <w:t>Years later, promised outcomes are compared with deaths, displacement, trauma, cost, environmental harm, rights impacts and rebuilding.</w:t>
      </w:r>
    </w:p>
    <w:tbl>
      <w:tblPr>
        <w:tblW w:type="auto" w:w="0"/>
        <w:jc w:val="center"/>
        <w:tblLook w:firstColumn="1" w:firstRow="1" w:lastColumn="0" w:lastRow="0" w:noHBand="0" w:noVBand="1" w:val="04A0"/>
      </w:tblPr>
      <w:tblGrid>
        <w:gridCol w:w="10108"/>
      </w:tblGrid>
      <w:tr>
        <w:trPr>
          <w:cantSplit w:val="true"/>
          <w:tblHeader w:val="true"/>
        </w:trPr>
        <w:tc>
          <w:tcPr>
            <w:tcW w:type="dxa" w:w="10108"/>
            <w:shd w:fill="FFF3E1"/>
            <w:vAlign w:val="center"/>
          </w:tcPr>
          <w:p>
            <w:pPr>
              <w:jc w:val="center"/>
            </w:pPr>
            <w:r>
              <w:rPr>
                <w:b/>
                <w:color w:val="8B5A00"/>
                <w:sz w:val="21"/>
              </w:rPr>
              <w:t>Security must protect people, not merely borders, institutions or reputations. Dialogue is not weakness. Evidence is not delay for its own sake. A pause can save lives when it creates room for truth and alternatives.</w:t>
            </w:r>
          </w:p>
        </w:tc>
      </w:tr>
    </w:tbl>
    <w:p/>
    <w:p>
      <w:pPr>
        <w:pStyle w:val="Heading1"/>
      </w:pPr>
      <w:r>
        <w:t>9. Powers, Limits and Democratic Legitimacy</w:t>
      </w:r>
    </w:p>
    <w:p>
      <w:pPr>
        <w:pStyle w:val="Heading2"/>
      </w:pPr>
      <w:r>
        <w:t>Launch-stage functions</w:t>
      </w:r>
    </w:p>
    <w:p>
      <w:pPr>
        <w:pStyle w:val="ListBullet"/>
      </w:pPr>
      <w:r>
        <w:t>Publish citizen recommendations and minority reports.</w:t>
      </w:r>
    </w:p>
    <w:p>
      <w:pPr>
        <w:pStyle w:val="ListBullet"/>
      </w:pPr>
      <w:r>
        <w:t>Produce human-first budget and policy scorecards.</w:t>
      </w:r>
    </w:p>
    <w:p>
      <w:pPr>
        <w:pStyle w:val="ListBullet"/>
      </w:pPr>
      <w:r>
        <w:t>Conduct voluntary peace and escalation reviews.</w:t>
      </w:r>
    </w:p>
    <w:p>
      <w:pPr>
        <w:pStyle w:val="ListBullet"/>
      </w:pPr>
      <w:r>
        <w:t>Maintain the Living History and Generations Bridge library.</w:t>
      </w:r>
    </w:p>
    <w:p>
      <w:pPr>
        <w:pStyle w:val="ListBullet"/>
      </w:pPr>
      <w:r>
        <w:t>Request public responses from governments, companies and institutions.</w:t>
      </w:r>
    </w:p>
    <w:p>
      <w:pPr>
        <w:pStyle w:val="ListBullet"/>
      </w:pPr>
      <w:r>
        <w:t>Track whether recommendations were accepted, rejected, delayed or ignored and publish the reasons given.</w:t>
      </w:r>
    </w:p>
    <w:p>
      <w:pPr>
        <w:pStyle w:val="Heading2"/>
      </w:pPr>
      <w:r>
        <w:t>Functions that require lawful adoption</w:t>
      </w:r>
    </w:p>
    <w:p>
      <w:pPr>
        <w:pStyle w:val="ListBullet"/>
      </w:pPr>
      <w:r>
        <w:t>Mandatory disclosure powers.</w:t>
      </w:r>
    </w:p>
    <w:p>
      <w:pPr>
        <w:pStyle w:val="ListBullet"/>
      </w:pPr>
      <w:r>
        <w:t>Formal delay or reconsideration triggers.</w:t>
      </w:r>
    </w:p>
    <w:p>
      <w:pPr>
        <w:pStyle w:val="ListBullet"/>
      </w:pPr>
      <w:r>
        <w:t>Access to protected government evidence.</w:t>
      </w:r>
    </w:p>
    <w:p>
      <w:pPr>
        <w:pStyle w:val="ListBullet"/>
      </w:pPr>
      <w:r>
        <w:t>Binding budget review.</w:t>
      </w:r>
    </w:p>
    <w:p>
      <w:pPr>
        <w:pStyle w:val="ListBullet"/>
      </w:pPr>
      <w:r>
        <w:t>Authority to invalidate, suspend or override an executive decision.</w:t>
      </w:r>
    </w:p>
    <w:p>
      <w:r>
        <w:t>Any such power would require legislation or treaty arrangements, precise jurisdiction, independent review, rights protections, emergency limits, transparency and appeal. The blueprint rejects the idea that private branding or a digital token can create public authority.</w:t>
      </w:r>
    </w:p>
    <w:p>
      <w:pPr>
        <w:pStyle w:val="Heading1"/>
      </w:pPr>
      <w:r>
        <w:t>10. Evidence, Research and Public Reasons</w:t>
      </w:r>
    </w:p>
    <w:p>
      <w:pPr>
        <w:pStyle w:val="Heading2"/>
      </w:pPr>
      <w:r>
        <w:t>Define the question</w:t>
      </w:r>
    </w:p>
    <w:p>
      <w:r>
        <w:t>State the decision, jurisdiction, timeframe, affected people and what the Assembly is being asked to recommend.</w:t>
      </w:r>
    </w:p>
    <w:p>
      <w:pPr>
        <w:pStyle w:val="Heading2"/>
      </w:pPr>
      <w:r>
        <w:t>Publish a balanced evidence pack</w:t>
      </w:r>
    </w:p>
    <w:p>
      <w:r>
        <w:t>Use primary sources where possible and include credible competing interpretations, known gaps and uncertainty.</w:t>
      </w:r>
    </w:p>
    <w:p>
      <w:pPr>
        <w:pStyle w:val="Heading2"/>
      </w:pPr>
      <w:r>
        <w:t>Separate testimony from external fact</w:t>
      </w:r>
    </w:p>
    <w:p>
      <w:r>
        <w:t>A life story is authoritative evidence of a person's experience. External factual claims are checked and labelled separately.</w:t>
      </w:r>
    </w:p>
    <w:p>
      <w:pPr>
        <w:pStyle w:val="Heading2"/>
      </w:pPr>
      <w:r>
        <w:t>Facilitate, do not manufacture consensus</w:t>
      </w:r>
    </w:p>
    <w:p>
      <w:r>
        <w:t>Skilled facilitators protect equal speaking time and constructive disagreement without steering the outcome.</w:t>
      </w:r>
    </w:p>
    <w:p>
      <w:pPr>
        <w:pStyle w:val="Heading2"/>
      </w:pPr>
      <w:r>
        <w:t>Record public reasons</w:t>
      </w:r>
    </w:p>
    <w:p>
      <w:r>
        <w:t>Publish evidence considered, reasons, votes, conflicts, costs, expected effects and minority reports.</w:t>
      </w:r>
    </w:p>
    <w:p>
      <w:pPr>
        <w:pStyle w:val="Heading2"/>
      </w:pPr>
      <w:r>
        <w:t>Review outcomes</w:t>
      </w:r>
    </w:p>
    <w:p>
      <w:r>
        <w:t>Return after implementation and compare results with predictions. Correct the public record when evidence changes.</w:t>
      </w:r>
    </w:p>
    <w:p>
      <w:pPr>
        <w:pStyle w:val="Heading1"/>
      </w:pPr>
      <w:r>
        <w:t>11. Funding, Technology and Transparency</w:t>
      </w:r>
    </w:p>
    <w:p>
      <w:pPr>
        <w:pStyle w:val="Heading2"/>
      </w:pPr>
      <w:r>
        <w:t>11.1 Funding rules</w:t>
      </w:r>
    </w:p>
    <w:p>
      <w:pPr>
        <w:pStyle w:val="ListBullet"/>
      </w:pPr>
      <w:r>
        <w:t>No secret funders.</w:t>
      </w:r>
    </w:p>
    <w:p>
      <w:pPr>
        <w:pStyle w:val="ListBullet"/>
      </w:pPr>
      <w:r>
        <w:t>A strict cap on the share of annual funding from any single donor or connected group.</w:t>
      </w:r>
    </w:p>
    <w:p>
      <w:pPr>
        <w:pStyle w:val="ListBullet"/>
      </w:pPr>
      <w:r>
        <w:t>No donor, sponsor, government, company or token holder receives extra votes.</w:t>
      </w:r>
    </w:p>
    <w:p>
      <w:pPr>
        <w:pStyle w:val="ListBullet"/>
      </w:pPr>
      <w:r>
        <w:t>Separate operating, research, participant-support and project funds.</w:t>
      </w:r>
    </w:p>
    <w:p>
      <w:pPr>
        <w:pStyle w:val="ListBullet"/>
      </w:pPr>
      <w:r>
        <w:t>Independent annual audit and a plain-language public spending ledger.</w:t>
      </w:r>
    </w:p>
    <w:p>
      <w:pPr>
        <w:pStyle w:val="ListBullet"/>
      </w:pPr>
      <w:r>
        <w:t>Public procurement rules and conflict checks for major contracts.</w:t>
      </w:r>
    </w:p>
    <w:p>
      <w:pPr>
        <w:pStyle w:val="Heading2"/>
      </w:pPr>
      <w:r>
        <w:t>11.2 Technology rules</w:t>
      </w:r>
    </w:p>
    <w:p>
      <w:pPr>
        <w:pStyle w:val="ListBullet"/>
      </w:pPr>
      <w:r>
        <w:t>Phone, paper and in-person participation remain available; digital access cannot become a citizenship test.</w:t>
      </w:r>
    </w:p>
    <w:p>
      <w:pPr>
        <w:pStyle w:val="ListBullet"/>
      </w:pPr>
      <w:r>
        <w:t>Open standards, accessible design, translation and exportable public records.</w:t>
      </w:r>
    </w:p>
    <w:p>
      <w:pPr>
        <w:pStyle w:val="ListBullet"/>
      </w:pPr>
      <w:r>
        <w:t>Cryptographic or blockchain tools may strengthen tamper evidence and public audit trails, but do not replace law, human judgement, privacy or independent audit.</w:t>
      </w:r>
    </w:p>
    <w:p>
      <w:pPr>
        <w:pStyle w:val="ListBullet"/>
      </w:pPr>
      <w:r>
        <w:t>No cryptocurrency, NFT, donation, points balance or investment determines membership or voting power.</w:t>
      </w:r>
    </w:p>
    <w:p>
      <w:pPr>
        <w:pStyle w:val="ListBullet"/>
      </w:pPr>
      <w:r>
        <w:t>Sensitive stories and security evidence are protected by data minimisation, consent and strict access controls.</w:t>
      </w:r>
    </w:p>
    <w:p>
      <w:pPr>
        <w:pStyle w:val="Heading1"/>
      </w:pPr>
      <w:r>
        <w:t>12. Safety, Rights and Anti-Capture Safeguards</w:t>
      </w:r>
    </w:p>
    <w:tbl>
      <w:tblPr>
        <w:tblStyle w:val="TableGrid"/>
        <w:tblW w:type="auto" w:w="0"/>
        <w:jc w:val="center"/>
        <w:tblLook w:firstColumn="1" w:firstRow="1" w:lastColumn="0" w:lastRow="0" w:noHBand="0" w:noVBand="1" w:val="04A0"/>
      </w:tblPr>
      <w:tblGrid>
        <w:gridCol w:w="5054"/>
        <w:gridCol w:w="5054"/>
      </w:tblGrid>
      <w:tr>
        <w:trPr>
          <w:tblHeader w:val="true"/>
          <w:cantSplit w:val="true"/>
        </w:trPr>
        <w:tc>
          <w:tcPr>
            <w:tcW w:type="dxa" w:w="5054"/>
            <w:shd w:fill="196F64"/>
          </w:tcPr>
          <w:p>
            <w:r>
              <w:rPr>
                <w:color w:val="FFFFFF"/>
              </w:rPr>
              <w:t>Safeguard</w:t>
            </w:r>
          </w:p>
        </w:tc>
        <w:tc>
          <w:tcPr>
            <w:tcW w:type="dxa" w:w="5054"/>
            <w:shd w:fill="196F64"/>
          </w:tcPr>
          <w:p>
            <w:r>
              <w:rPr>
                <w:color w:val="FFFFFF"/>
              </w:rPr>
              <w:t>Minimum rule</w:t>
            </w:r>
          </w:p>
        </w:tc>
      </w:tr>
      <w:tr>
        <w:trPr>
          <w:cantSplit w:val="true"/>
        </w:trPr>
        <w:tc>
          <w:tcPr>
            <w:tcW w:type="dxa" w:w="5054"/>
          </w:tcPr>
          <w:p>
            <w:r>
              <w:t>Human rights floor</w:t>
            </w:r>
          </w:p>
        </w:tc>
        <w:tc>
          <w:tcPr>
            <w:tcW w:type="dxa" w:w="5054"/>
          </w:tcPr>
          <w:p>
            <w:r>
              <w:t>No majority may remove basic dignity, equality, due process or protection from discrimination.</w:t>
            </w:r>
          </w:p>
        </w:tc>
      </w:tr>
      <w:tr>
        <w:trPr>
          <w:cantSplit w:val="true"/>
        </w:trPr>
        <w:tc>
          <w:tcPr>
            <w:tcW w:type="dxa" w:w="5054"/>
          </w:tcPr>
          <w:p>
            <w:r>
              <w:t>Selection audit</w:t>
            </w:r>
          </w:p>
        </w:tc>
        <w:tc>
          <w:tcPr>
            <w:tcW w:type="dxa" w:w="5054"/>
          </w:tcPr>
          <w:p>
            <w:r>
              <w:t>Independent checks confirm the civic lottery and demographic balance were not manipulated.</w:t>
            </w:r>
          </w:p>
        </w:tc>
      </w:tr>
      <w:tr>
        <w:trPr>
          <w:cantSplit w:val="true"/>
        </w:trPr>
        <w:tc>
          <w:tcPr>
            <w:tcW w:type="dxa" w:w="5054"/>
          </w:tcPr>
          <w:p>
            <w:r>
              <w:t>Anti-harassment protection</w:t>
            </w:r>
          </w:p>
        </w:tc>
        <w:tc>
          <w:tcPr>
            <w:tcW w:type="dxa" w:w="5054"/>
          </w:tcPr>
          <w:p>
            <w:r>
              <w:t>Participants receive privacy options, security support and clear action against threats, doxxing or retaliation.</w:t>
            </w:r>
          </w:p>
        </w:tc>
      </w:tr>
      <w:tr>
        <w:trPr>
          <w:cantSplit w:val="true"/>
        </w:trPr>
        <w:tc>
          <w:tcPr>
            <w:tcW w:type="dxa" w:w="5054"/>
          </w:tcPr>
          <w:p>
            <w:r>
              <w:t>Trauma safeguards</w:t>
            </w:r>
          </w:p>
        </w:tc>
        <w:tc>
          <w:tcPr>
            <w:tcW w:type="dxa" w:w="5054"/>
          </w:tcPr>
          <w:p>
            <w:r>
              <w:t>Story and conflict participation is voluntary, paced, support-aware and never used as entertainment.</w:t>
            </w:r>
          </w:p>
        </w:tc>
      </w:tr>
      <w:tr>
        <w:trPr>
          <w:cantSplit w:val="true"/>
        </w:trPr>
        <w:tc>
          <w:tcPr>
            <w:tcW w:type="dxa" w:w="5054"/>
          </w:tcPr>
          <w:p>
            <w:r>
              <w:t>Information integrity</w:t>
            </w:r>
          </w:p>
        </w:tc>
        <w:tc>
          <w:tcPr>
            <w:tcW w:type="dxa" w:w="5054"/>
          </w:tcPr>
          <w:p>
            <w:r>
              <w:t>Sources, corrections, manipulated media risks and unresolved uncertainty are recorded openly.</w:t>
            </w:r>
          </w:p>
        </w:tc>
      </w:tr>
      <w:tr>
        <w:trPr>
          <w:cantSplit w:val="true"/>
        </w:trPr>
        <w:tc>
          <w:tcPr>
            <w:tcW w:type="dxa" w:w="5054"/>
          </w:tcPr>
          <w:p>
            <w:r>
              <w:t>Minority report</w:t>
            </w:r>
          </w:p>
        </w:tc>
        <w:tc>
          <w:tcPr>
            <w:tcW w:type="dxa" w:w="5054"/>
          </w:tcPr>
          <w:p>
            <w:r>
              <w:t>Dissenting participants can publish reasoned alternatives without being forced into false consensus.</w:t>
            </w:r>
          </w:p>
        </w:tc>
      </w:tr>
      <w:tr>
        <w:trPr>
          <w:cantSplit w:val="true"/>
        </w:trPr>
        <w:tc>
          <w:tcPr>
            <w:tcW w:type="dxa" w:w="5054"/>
          </w:tcPr>
          <w:p>
            <w:r>
              <w:t>Emergency limits</w:t>
            </w:r>
          </w:p>
        </w:tc>
        <w:tc>
          <w:tcPr>
            <w:tcW w:type="dxa" w:w="5054"/>
          </w:tcPr>
          <w:p>
            <w:r>
              <w:t>Any future emergency procedure is narrow, temporary, reviewable and unable to become a permanent shortcut.</w:t>
            </w:r>
          </w:p>
        </w:tc>
      </w:tr>
      <w:tr>
        <w:trPr>
          <w:cantSplit w:val="true"/>
        </w:trPr>
        <w:tc>
          <w:tcPr>
            <w:tcW w:type="dxa" w:w="5054"/>
          </w:tcPr>
          <w:p>
            <w:r>
              <w:t>Independent complaints</w:t>
            </w:r>
          </w:p>
        </w:tc>
        <w:tc>
          <w:tcPr>
            <w:tcW w:type="dxa" w:w="5054"/>
          </w:tcPr>
          <w:p>
            <w:r>
              <w:t>Participants and the public can challenge selection, facilitation, safety, funding and published claims.</w:t>
            </w:r>
          </w:p>
        </w:tc>
      </w:tr>
    </w:tbl>
    <w:p>
      <w:pPr>
        <w:pStyle w:val="Heading1"/>
      </w:pPr>
      <w:r>
        <w:t>13. Practical Pilot Roadmap</w:t>
      </w:r>
    </w:p>
    <w:tbl>
      <w:tblPr>
        <w:tblStyle w:val="TableGrid"/>
        <w:tblW w:type="auto" w:w="0"/>
        <w:jc w:val="center"/>
        <w:tblLook w:firstColumn="1" w:firstRow="1" w:lastColumn="0" w:lastRow="0" w:noHBand="0" w:noVBand="1" w:val="04A0"/>
      </w:tblPr>
      <w:tblGrid>
        <w:gridCol w:w="3369"/>
        <w:gridCol w:w="3369"/>
        <w:gridCol w:w="3369"/>
      </w:tblGrid>
      <w:tr>
        <w:trPr>
          <w:tblHeader w:val="true"/>
          <w:cantSplit w:val="true"/>
        </w:trPr>
        <w:tc>
          <w:tcPr>
            <w:tcW w:type="dxa" w:w="3369"/>
            <w:shd w:fill="5135A4"/>
          </w:tcPr>
          <w:p>
            <w:r>
              <w:rPr>
                <w:color w:val="FFFFFF"/>
              </w:rPr>
              <w:t>Stage</w:t>
            </w:r>
          </w:p>
        </w:tc>
        <w:tc>
          <w:tcPr>
            <w:tcW w:type="dxa" w:w="3369"/>
            <w:shd w:fill="5135A4"/>
          </w:tcPr>
          <w:p>
            <w:r>
              <w:rPr>
                <w:color w:val="FFFFFF"/>
              </w:rPr>
              <w:t>Indicative period</w:t>
            </w:r>
          </w:p>
        </w:tc>
        <w:tc>
          <w:tcPr>
            <w:tcW w:type="dxa" w:w="3369"/>
            <w:shd w:fill="5135A4"/>
          </w:tcPr>
          <w:p>
            <w:r>
              <w:rPr>
                <w:color w:val="FFFFFF"/>
              </w:rPr>
              <w:t>Deliverable</w:t>
            </w:r>
          </w:p>
        </w:tc>
      </w:tr>
      <w:tr>
        <w:trPr>
          <w:cantSplit w:val="true"/>
        </w:trPr>
        <w:tc>
          <w:tcPr>
            <w:tcW w:type="dxa" w:w="3369"/>
          </w:tcPr>
          <w:p>
            <w:r>
              <w:t>Stage 1 - Publish and listen</w:t>
            </w:r>
          </w:p>
        </w:tc>
        <w:tc>
          <w:tcPr>
            <w:tcW w:type="dxa" w:w="3369"/>
          </w:tcPr>
          <w:p>
            <w:r>
              <w:t>0-60 days</w:t>
            </w:r>
          </w:p>
        </w:tc>
        <w:tc>
          <w:tcPr>
            <w:tcW w:type="dxa" w:w="3369"/>
          </w:tcPr>
          <w:p>
            <w:r>
              <w:t>Launch web page and documents; invite public comments; recruit advisory reviewers; publish every material revision.</w:t>
            </w:r>
          </w:p>
        </w:tc>
      </w:tr>
      <w:tr>
        <w:trPr>
          <w:cantSplit w:val="true"/>
        </w:trPr>
        <w:tc>
          <w:tcPr>
            <w:tcW w:type="dxa" w:w="3369"/>
          </w:tcPr>
          <w:p>
            <w:r>
              <w:t>Stage 2 - Generations Bridge pilot</w:t>
            </w:r>
          </w:p>
        </w:tc>
        <w:tc>
          <w:tcPr>
            <w:tcW w:type="dxa" w:w="3369"/>
          </w:tcPr>
          <w:p>
            <w:r>
              <w:t>2-4 months</w:t>
            </w:r>
          </w:p>
        </w:tc>
        <w:tc>
          <w:tcPr>
            <w:tcW w:type="dxa" w:w="3369"/>
          </w:tcPr>
          <w:p>
            <w:r>
              <w:t>Partner with one retirement village or older-person community and one youth group; run six-session story circles; complete consent and accessibility review.</w:t>
            </w:r>
          </w:p>
        </w:tc>
      </w:tr>
      <w:tr>
        <w:trPr>
          <w:cantSplit w:val="true"/>
        </w:trPr>
        <w:tc>
          <w:tcPr>
            <w:tcW w:type="dxa" w:w="3369"/>
          </w:tcPr>
          <w:p>
            <w:r>
              <w:t>Stage 3 - Local citizens panel</w:t>
            </w:r>
          </w:p>
        </w:tc>
        <w:tc>
          <w:tcPr>
            <w:tcW w:type="dxa" w:w="3369"/>
          </w:tcPr>
          <w:p>
            <w:r>
              <w:t>4-8 months</w:t>
            </w:r>
          </w:p>
        </w:tc>
        <w:tc>
          <w:tcPr>
            <w:tcW w:type="dxa" w:w="3369"/>
          </w:tcPr>
          <w:p>
            <w:r>
              <w:t>Select a representative local panel for one practical question such as homelessness, food access, waste or community health; publish evidence and recommendations.</w:t>
            </w:r>
          </w:p>
        </w:tc>
      </w:tr>
      <w:tr>
        <w:trPr>
          <w:cantSplit w:val="true"/>
        </w:trPr>
        <w:tc>
          <w:tcPr>
            <w:tcW w:type="dxa" w:w="3369"/>
          </w:tcPr>
          <w:p>
            <w:r>
              <w:t>Stage 4 - Multi-community network</w:t>
            </w:r>
          </w:p>
        </w:tc>
        <w:tc>
          <w:tcPr>
            <w:tcW w:type="dxa" w:w="3369"/>
          </w:tcPr>
          <w:p>
            <w:r>
              <w:t>8-18 months</w:t>
            </w:r>
          </w:p>
        </w:tc>
        <w:tc>
          <w:tcPr>
            <w:tcW w:type="dxa" w:w="3369"/>
          </w:tcPr>
          <w:p>
            <w:r>
              <w:t>Connect several cities or regions; test common standards, translations, public reason records and minority reports.</w:t>
            </w:r>
          </w:p>
        </w:tc>
      </w:tr>
      <w:tr>
        <w:trPr>
          <w:cantSplit w:val="true"/>
        </w:trPr>
        <w:tc>
          <w:tcPr>
            <w:tcW w:type="dxa" w:w="3369"/>
          </w:tcPr>
          <w:p>
            <w:r>
              <w:t>Stage 5 - Country demonstration</w:t>
            </w:r>
          </w:p>
        </w:tc>
        <w:tc>
          <w:tcPr>
            <w:tcW w:type="dxa" w:w="3369"/>
          </w:tcPr>
          <w:p>
            <w:r>
              <w:t>18-30 months</w:t>
            </w:r>
          </w:p>
        </w:tc>
        <w:tc>
          <w:tcPr>
            <w:tcW w:type="dxa" w:w="3369"/>
          </w:tcPr>
          <w:p>
            <w:r>
              <w:t>Run a 100-person national panel with independent selection audit, funding disclosure and formal public responses from institutions.</w:t>
            </w:r>
          </w:p>
        </w:tc>
      </w:tr>
      <w:tr>
        <w:trPr>
          <w:cantSplit w:val="true"/>
        </w:trPr>
        <w:tc>
          <w:tcPr>
            <w:tcW w:type="dxa" w:w="3369"/>
          </w:tcPr>
          <w:p>
            <w:r>
              <w:t>Stage 6 - International deliberation</w:t>
            </w:r>
          </w:p>
        </w:tc>
        <w:tc>
          <w:tcPr>
            <w:tcW w:type="dxa" w:w="3369"/>
          </w:tcPr>
          <w:p>
            <w:r>
              <w:t>After proven pilots</w:t>
            </w:r>
          </w:p>
        </w:tc>
        <w:tc>
          <w:tcPr>
            <w:tcW w:type="dxa" w:w="3369"/>
          </w:tcPr>
          <w:p>
            <w:r>
              <w:t>Bring rotating country delegations together on one defined global issue; remain advisory unless participating countries lawfully adopt additional functions.</w:t>
            </w:r>
          </w:p>
        </w:tc>
      </w:tr>
    </w:tbl>
    <w:p>
      <w:pPr>
        <w:pStyle w:val="Heading1"/>
      </w:pPr>
      <w:r>
        <w:t>14. Measures of Success</w:t>
      </w:r>
    </w:p>
    <w:p>
      <w:pPr>
        <w:pStyle w:val="ListBullet"/>
      </w:pPr>
      <w:r>
        <w:t>Representation: the participant group broadly matches the community and includes people normally excluded.</w:t>
      </w:r>
    </w:p>
    <w:p>
      <w:pPr>
        <w:pStyle w:val="ListBullet"/>
      </w:pPr>
      <w:r>
        <w:t>Participation quality: people report that they could understand evidence, speak safely and influence the final reasons.</w:t>
      </w:r>
    </w:p>
    <w:p>
      <w:pPr>
        <w:pStyle w:val="ListBullet"/>
      </w:pPr>
      <w:r>
        <w:t>Intergenerational connection: older and younger participants complete shared outputs and choose whether to continue contact.</w:t>
      </w:r>
    </w:p>
    <w:p>
      <w:pPr>
        <w:pStyle w:val="ListBullet"/>
      </w:pPr>
      <w:r>
        <w:t>Institutional response: decision-makers provide a public response to each material recommendation.</w:t>
      </w:r>
    </w:p>
    <w:p>
      <w:pPr>
        <w:pStyle w:val="ListBullet"/>
      </w:pPr>
      <w:r>
        <w:t>Human outcomes: measurable progress in housing, food, health, pollution, access, safety or another defined need.</w:t>
      </w:r>
    </w:p>
    <w:p>
      <w:pPr>
        <w:pStyle w:val="ListBullet"/>
      </w:pPr>
      <w:r>
        <w:t>Peace value: peaceful alternatives, civilian evidence and conflicts of interest become visible before escalation.</w:t>
      </w:r>
    </w:p>
    <w:p>
      <w:pPr>
        <w:pStyle w:val="ListBullet"/>
      </w:pPr>
      <w:r>
        <w:t>Trust and correction: funding, sources, conflicts and mistakes are disclosed and corrected without hiding older versions.</w:t>
      </w:r>
    </w:p>
    <w:p>
      <w:pPr>
        <w:pStyle w:val="ListBullet"/>
      </w:pPr>
      <w:r>
        <w:t>No capture: wealth, party affiliation, government pressure or token ownership does not dominate selection or outcomes.</w:t>
      </w:r>
    </w:p>
    <w:p>
      <w:pPr>
        <w:pStyle w:val="Heading1"/>
      </w:pPr>
      <w:r>
        <w:t>15. Consultation Questions</w:t>
      </w:r>
    </w:p>
    <w:p>
      <w:r>
        <w:t>1. What name best communicates the mission without implying authority that does not yet exist?</w:t>
      </w:r>
    </w:p>
    <w:p>
      <w:r>
        <w:t>2. Should each national panel begin with 50, 100 or another number of rotating citizens?</w:t>
      </w:r>
    </w:p>
    <w:p>
      <w:r>
        <w:t>3. How should Indigenous peoples and self-governing communities define their own representation?</w:t>
      </w:r>
    </w:p>
    <w:p>
      <w:r>
        <w:t>4. Which protections would make retirement village and older-person story circles genuinely voluntary and useful?</w:t>
      </w:r>
    </w:p>
    <w:p>
      <w:r>
        <w:t>5. How can young people participate meaningfully without becoming symbolic representatives?</w:t>
      </w:r>
    </w:p>
    <w:p>
      <w:r>
        <w:t>6. Which decisions should trigger a voluntary peace review first?</w:t>
      </w:r>
    </w:p>
    <w:p>
      <w:r>
        <w:t>7. What maximum donor share would best prevent financial capture?</w:t>
      </w:r>
    </w:p>
    <w:p>
      <w:r>
        <w:t>8. Which public records should always be open, and which require privacy or safety protection?</w:t>
      </w:r>
    </w:p>
    <w:p>
      <w:r>
        <w:t>9. How should minority reports and unresolved disagreement be presented?</w:t>
      </w:r>
    </w:p>
    <w:p>
      <w:r>
        <w:t>10. What legal pathway would be necessary before any formal delay, review or override power could be considered?</w:t>
      </w:r>
    </w:p>
    <w:p>
      <w:pPr>
        <w:pStyle w:val="Heading1"/>
      </w:pPr>
      <w:r>
        <w:t>16. Official Design References and Disclaimer</w:t>
      </w:r>
    </w:p>
    <w:p>
      <w:r>
        <w:t>The blueprint draws design guidance from established international principles on peace, human rights, citizen participation, healthy ageing, universal health coverage, sustainable development, disarmament and waste management. These sources do not endorse OneWorldz and do not make the proposal official.</w:t>
      </w:r>
    </w:p>
    <w:p>
      <w:pPr>
        <w:pStyle w:val="ListBullet"/>
      </w:pPr>
      <w:hyperlink r:id="rId11">
        <w:r>
          <w:rPr>
            <w:color w:val="5B25B3"/>
            <w:u w:val="single"/>
          </w:rPr>
          <w:t>United Nations Charter - full text</w:t>
        </w:r>
      </w:hyperlink>
    </w:p>
    <w:p>
      <w:pPr>
        <w:pStyle w:val="ListBullet"/>
      </w:pPr>
      <w:hyperlink r:id="rId12">
        <w:r>
          <w:rPr>
            <w:color w:val="5B25B3"/>
            <w:u w:val="single"/>
          </w:rPr>
          <w:t>OECD - Innovative Citizen Participation and New Democratic Institutions</w:t>
        </w:r>
      </w:hyperlink>
    </w:p>
    <w:p>
      <w:pPr>
        <w:pStyle w:val="ListBullet"/>
      </w:pPr>
      <w:hyperlink r:id="rId13">
        <w:r>
          <w:rPr>
            <w:color w:val="5B25B3"/>
            <w:u w:val="single"/>
          </w:rPr>
          <w:t>OECD - Guidelines for Citizen Participation Processes</w:t>
        </w:r>
      </w:hyperlink>
    </w:p>
    <w:p>
      <w:pPr>
        <w:pStyle w:val="ListBullet"/>
      </w:pPr>
      <w:hyperlink r:id="rId14">
        <w:r>
          <w:rPr>
            <w:color w:val="5B25B3"/>
            <w:u w:val="single"/>
          </w:rPr>
          <w:t>WHO Age-Friendly World - Social Participation</w:t>
        </w:r>
      </w:hyperlink>
    </w:p>
    <w:p>
      <w:pPr>
        <w:pStyle w:val="ListBullet"/>
      </w:pPr>
      <w:hyperlink r:id="rId15">
        <w:r>
          <w:rPr>
            <w:color w:val="5B25B3"/>
            <w:u w:val="single"/>
          </w:rPr>
          <w:t>WHO - Enabling diverse voices and meaningful engagement of older people</w:t>
        </w:r>
      </w:hyperlink>
    </w:p>
    <w:p>
      <w:pPr>
        <w:pStyle w:val="ListBullet"/>
      </w:pPr>
      <w:hyperlink r:id="rId16">
        <w:r>
          <w:rPr>
            <w:color w:val="5B25B3"/>
            <w:u w:val="single"/>
          </w:rPr>
          <w:t>United Nations - International Day of Older Persons messages</w:t>
        </w:r>
      </w:hyperlink>
    </w:p>
    <w:p>
      <w:pPr>
        <w:pStyle w:val="ListBullet"/>
      </w:pPr>
      <w:hyperlink r:id="rId17">
        <w:r>
          <w:rPr>
            <w:color w:val="5B25B3"/>
            <w:u w:val="single"/>
          </w:rPr>
          <w:t>WHO - Universal Health Coverage</w:t>
        </w:r>
      </w:hyperlink>
    </w:p>
    <w:p>
      <w:pPr>
        <w:pStyle w:val="ListBullet"/>
      </w:pPr>
      <w:hyperlink r:id="rId18">
        <w:r>
          <w:rPr>
            <w:color w:val="5B25B3"/>
            <w:u w:val="single"/>
          </w:rPr>
          <w:t>United Nations - Sustainable Development Goals</w:t>
        </w:r>
      </w:hyperlink>
    </w:p>
    <w:p>
      <w:pPr>
        <w:pStyle w:val="ListBullet"/>
      </w:pPr>
      <w:hyperlink r:id="rId19">
        <w:r>
          <w:rPr>
            <w:color w:val="5B25B3"/>
            <w:u w:val="single"/>
          </w:rPr>
          <w:t>United Nations - Disarmament by the numbers</w:t>
        </w:r>
      </w:hyperlink>
    </w:p>
    <w:p>
      <w:pPr>
        <w:pStyle w:val="ListBullet"/>
      </w:pPr>
      <w:hyperlink r:id="rId20">
        <w:r>
          <w:rPr>
            <w:color w:val="5B25B3"/>
            <w:u w:val="single"/>
          </w:rPr>
          <w:t>UNEP - Global Waste Management Outlook 2024</w:t>
        </w:r>
      </w:hyperlink>
    </w:p>
    <w:p>
      <w:pPr>
        <w:pStyle w:val="ListBullet"/>
      </w:pPr>
      <w:hyperlink r:id="rId21">
        <w:r>
          <w:rPr>
            <w:color w:val="5B25B3"/>
            <w:u w:val="single"/>
          </w:rPr>
          <w:t>OHCHR and UN-Habitat - Human right to adequate housing, Fact Sheet 21</w:t>
        </w:r>
      </w:hyperlink>
    </w:p>
    <w:tbl>
      <w:tblPr>
        <w:tblW w:type="auto" w:w="0"/>
        <w:jc w:val="center"/>
        <w:tblLook w:firstColumn="1" w:firstRow="1" w:lastColumn="0" w:lastRow="0" w:noHBand="0" w:noVBand="1" w:val="04A0"/>
      </w:tblPr>
      <w:tblGrid>
        <w:gridCol w:w="10108"/>
      </w:tblGrid>
      <w:tr>
        <w:trPr>
          <w:cantSplit w:val="true"/>
          <w:tblHeader w:val="true"/>
        </w:trPr>
        <w:tc>
          <w:tcPr>
            <w:tcW w:type="dxa" w:w="10108"/>
            <w:shd w:fill="FFF0F2"/>
            <w:vAlign w:val="center"/>
          </w:tcPr>
          <w:p>
            <w:pPr>
              <w:jc w:val="center"/>
            </w:pPr>
            <w:r>
              <w:rPr>
                <w:b/>
                <w:color w:val="9A2940"/>
                <w:sz w:val="21"/>
              </w:rPr>
              <w:t>DISCLAIMER: This document is general public-interest, educational and policy design material. It is not legal advice, a constitution, a treaty, enacted legislation, an official international organisation or authority to direct governments. Formal public powers require democratic and legal adoption in every relevant jurisdiction.</w:t>
            </w:r>
          </w:p>
        </w:tc>
      </w:tr>
    </w:tbl>
    <w:p/>
    <w:p>
      <w:pPr>
        <w:jc w:val="center"/>
      </w:pPr>
      <w:r>
        <w:rPr>
          <w:b/>
          <w:color w:val="5125A4"/>
          <w:sz w:val="24"/>
        </w:rPr>
        <w:t>ONE WORLD - ONE MISSION - EVERY GENERATION STILL HAS A SAY</w:t>
      </w:r>
    </w:p>
    <w:sectPr w:rsidR="00FC693F" w:rsidRPr="0006063C" w:rsidSect="00034616">
      <w:headerReference w:type="default" r:id="rId9"/>
      <w:footerReference w:type="default" r:id="rId10"/>
      <w:pgSz w:w="12240" w:h="15840"/>
      <w:pgMar w:top="979" w:right="1066" w:bottom="936" w:left="106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0505A"/>
        <w:sz w:val="16"/>
      </w:rPr>
      <w:t xml:space="preserve">Every Generation Still Has a Say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5125A4"/>
        <w:sz w:val="16"/>
      </w:rPr>
      <w:t>ONEWORLDZ  |  GLOBAL CITIZENS ASSEMBLY  |  BLUEPRINT #001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125A4"/>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96F6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37374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5125A4"/>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eastAsia="Aptos Display"/>
      <w:i/>
      <w:iCs/>
      <w:color w:val="196F6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un.org/en/about-us/un-charter/full-text" TargetMode="External"/><Relationship Id="rId12" Type="http://schemas.openxmlformats.org/officeDocument/2006/relationships/hyperlink" Target="https://www.oecd.org/en/publications/innovative-citizen-participation-and-new-democratic-institutions_339306da-en.html" TargetMode="External"/><Relationship Id="rId13" Type="http://schemas.openxmlformats.org/officeDocument/2006/relationships/hyperlink" Target="https://www.oecd.org/en/publications/oecd-guidelines-for-citizen-participation-processes_f765caf6-en.html" TargetMode="External"/><Relationship Id="rId14" Type="http://schemas.openxmlformats.org/officeDocument/2006/relationships/hyperlink" Target="https://extranet.who.int/agefriendlyworld/age-friendly-practices/social-participation/" TargetMode="External"/><Relationship Id="rId15" Type="http://schemas.openxmlformats.org/officeDocument/2006/relationships/hyperlink" Target="https://www.who.int/health-topics/ageing/enabling-diverse-voices-and-meaningful-engagement-of-older-people" TargetMode="External"/><Relationship Id="rId16" Type="http://schemas.openxmlformats.org/officeDocument/2006/relationships/hyperlink" Target="https://www.un.org/en/observances/older-persons-day/messages" TargetMode="External"/><Relationship Id="rId17" Type="http://schemas.openxmlformats.org/officeDocument/2006/relationships/hyperlink" Target="https://www.who.int/health-topics/universal-health-coverage/" TargetMode="External"/><Relationship Id="rId18" Type="http://schemas.openxmlformats.org/officeDocument/2006/relationships/hyperlink" Target="https://www.un.org/sustainabledevelopment/sustainable-development-goals/" TargetMode="External"/><Relationship Id="rId19" Type="http://schemas.openxmlformats.org/officeDocument/2006/relationships/hyperlink" Target="https://www.un.org/en/peaceandsecurity/disarmament-numbers" TargetMode="External"/><Relationship Id="rId20" Type="http://schemas.openxmlformats.org/officeDocument/2006/relationships/hyperlink" Target="https://www.unep.org/resources/global-waste-management-outlook-2024" TargetMode="External"/><Relationship Id="rId21" Type="http://schemas.openxmlformats.org/officeDocument/2006/relationships/hyperlink" Target="https://searchlibrary.ohchr.org/record/167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